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80"/>
      </w:pPr>
      <w:r>
        <w:rPr>
          <w:rFonts w:ascii="Arial" w:cs="Arial" w:eastAsia="Arial" w:hAnsi="Arial"/>
          <w:b/>
          <w:bCs/>
          <w:color w:val="078F84"/>
          <w:sz w:val="18"/>
          <w:szCs w:val="18"/>
        </w:rPr>
        <w:t xml:space="preserve">COMPLIANCE CHECKLIST</w:t>
      </w:r>
    </w:p>
    <w:p>
      <w:pPr>
        <w:spacing w:after="180" w:before="0" w:line="560"/>
      </w:pPr>
      <w:r>
        <w:rPr>
          <w:rFonts w:ascii="Arial" w:cs="Arial" w:eastAsia="Arial" w:hAnsi="Arial"/>
          <w:b/>
          <w:bCs/>
          <w:color w:val="0A1220"/>
          <w:sz w:val="42"/>
          <w:szCs w:val="42"/>
        </w:rPr>
        <w:t xml:space="preserve">Energy</w:t>
      </w:r>
    </w:p>
    <w:tbl>
      <w:tblPr>
        <w:tblW w:type="dxa" w:w="9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70"/>
      </w:tblGrid>
      <w:tr>
        <w:tc>
          <w:tcPr>
            <w:tcW w:type="dxa" w:w="9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220" w:val="clear"/>
            <w:tcMar>
              <w:top w:type="dxa" w:w="180"/>
              <w:left w:type="dxa" w:w="220"/>
              <w:bottom w:type="dxa" w:w="180"/>
              <w:right w:type="dxa" w:w="2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NIS2 Annex I — Essential · Prepared with Drimt — drimt.io</w:t>
            </w:r>
          </w:p>
        </w:tc>
      </w:tr>
    </w:tbl>
    <w:p>
      <w:pPr>
        <w:spacing w:after="220" w:before="190" w:line="280"/>
      </w:pPr>
      <w:r>
        <w:rPr>
          <w:rFonts w:ascii="Arial" w:cs="Arial" w:eastAsia="Arial" w:hAnsi="Arial"/>
          <w:color w:val="667085"/>
          <w:sz w:val="19"/>
          <w:szCs w:val="19"/>
        </w:rPr>
        <w:t xml:space="preserve">Use this workbook to record readiness, evidence, and follow-up actions for each requirement.</w:t>
      </w:r>
    </w:p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01  /  FOUNDATION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Core obligations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Confirm whether your entity qualifies as essential or important under NIS2 and register with your national authority (CSIRT/ competent body) where required.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Assign clear management responsibility: management body must approve cybersecurity risk-management measures and oversee implementation (Art. 20).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Ensure management members follow cybersecurity training and ensure staff receive regular training (Art. 20(2)).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and document a risk-analysis and information-system security policy (Art. 21(2)(a)).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incident-handling procedures: detection, triage, response, and post-incident review (Art. 21(2)(b)).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Implement business continuity, backup, and disaster recovery plans; test them at least annually (Art. 21(2)(c)).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and manage supply-chain security, including supplier security requirements and vulnerability handling (Art. 21(2)(d)).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Apply security measures in acquisition, development, and maintenance of ICT systems, including vulnerability disclosure (Art. 21(2)(e)).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policies to assess the effectiveness of your cybersecurity risk-management measures (Art. 21(2)(f)).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basic cyber-hygiene practices and a cybersecurity training programme for all staff (Art. 21(2)(g)).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cryptography and encryption policies, including key management (Art. 21(2)(h)).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Enforce access control, asset management, and HR security (screening, offboarding) (Art. 21(2)(i)).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Deploy multi-factor or continuous authentication and secure communication systems where appropriate (Art. 21(2)(j)).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Set up 24h/72h incident notification: early warning within 24 hours, incident notification within 72 hours, final report within one month (Art. 23).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Map and document critical assets, dependencies, and single points of failure.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an up-to-date asset inventory and network diagram covering OT/IT and cloud services.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vulnerability management: scanning cadence, patch SLAs, and remediation tracking.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Prepare evidence for supervision: policies, logs, test results, and audit reports must be exportable on request.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02  /  SECTOR FOCUS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Sector-specific checks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Segment and monitor OT/ICS environments (SCADA, DCS); apply IEC 62443-aligned controls where relevant.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Coordinate with your TSO/DSO on grid-security requirements and cross-border incident reporting.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third-party remote access to operational technology and enforce jump-host / PAM controls.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10E6D2" w:sz="18" w:space="10"/>
        </w:pBdr>
        <w:spacing w:after="0" w:before="260" w:line="260"/>
      </w:pPr>
      <w:r>
        <w:rPr>
          <w:rFonts w:ascii="Arial" w:cs="Arial" w:eastAsia="Arial" w:hAnsi="Arial"/>
          <w:i/>
          <w:iCs/>
          <w:color w:val="667085"/>
          <w:sz w:val="16"/>
          <w:szCs w:val="16"/>
        </w:rPr>
        <w:t xml:space="preserve">This checklist is guidance, not legal advice. Verify obligations against the final national transposition and your competent authority.</w:t>
      </w:r>
    </w:p>
    <w:sectPr>
      <w:headerReference w:type="default" r:id="rId7"/>
      <w:footerReference w:type="default" r:id="rId8"/>
      <w:pgSz w:w="11906" w:h="16838" w:orient="portrait"/>
      <w:pgMar w:top="1250" w:right="1018" w:bottom="1300" w:left="1018" w:header="42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E4EA" w:sz="8" w:space="8"/>
      </w:pBdr>
      <w:tabs>
        <w:tab w:val="right" w:pos="9360"/>
      </w:tabs>
      <w:spacing w:after="40" w:before="80"/>
    </w:pPr>
    <w:hyperlink w:history="1" r:id="rId6ayfgrgjytwknpyixn0fk">
      <w:r>
        <w:rPr>
          <w:rFonts w:ascii="Arial" w:cs="Arial" w:eastAsia="Arial" w:hAnsi="Arial"/>
          <w:b/>
          <w:bCs/>
          <w:color w:val="0A1220"/>
          <w:sz w:val="16"/>
          <w:szCs w:val="16"/>
        </w:rPr>
        <w:t xml:space="preserve">drimt.io</w:t>
      </w:r>
    </w:hyperlink>
    <w:r>
      <w:rPr>
        <w:rFonts w:ascii="Arial" w:cs="Arial" w:eastAsia="Arial" w:hAnsi="Arial"/>
        <w:color w:val="667085"/>
        <w:sz w:val="15"/>
        <w:szCs w:val="15"/>
      </w:rPr>
      <w:t xml:space="preserve">  ·  NIS2 Annex I — Essential</w:t>
    </w:r>
    <w:r>
      <w:rPr>
        <w:rFonts w:ascii="Arial" w:cs="Arial" w:eastAsia="Arial" w:hAnsi="Arial"/>
        <w:color w:val="667085"/>
        <w:sz w:val="15"/>
        <w:szCs w:val="15"/>
      </w:rPr>
      <w:t xml:space="preserve">	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after="0" w:before="0"/>
    </w:pPr>
    <w:r>
      <w:rPr>
        <w:rFonts w:ascii="Arial" w:cs="Arial" w:eastAsia="Arial" w:hAnsi="Arial"/>
        <w:i/>
        <w:iCs/>
        <w:color w:val="667085"/>
        <w:sz w:val="13"/>
        <w:szCs w:val="13"/>
      </w:rPr>
      <w:t xml:space="preserve">Guidance only — not legal advice. Verify requirements with the applicable authority.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8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50"/>
      <w:gridCol w:w="9020"/>
    </w:tblGrid>
    <w:tr>
      <w:tc>
        <w:tcPr>
          <w:tcW w:type="dxa" w:w="85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10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285750" cy="285750"/>
                <wp:effectExtent t="0" r="0" b="0" l="0"/>
                <wp:docPr id="1" name="Drimt shield mark" descr="Drimt shield mark" title="Drim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020"/>
          <w:tcBorders>
            <w:top w:val="none" w:color="FFFFFF" w:sz="0"/>
            <w:left w:val="none" w:color="FFFFFF" w:sz="0"/>
            <w:bottom w:val="single" w:color="10E6D2" w:sz="12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0A1220"/>
              <w:sz w:val="19"/>
              <w:szCs w:val="19"/>
            </w:rPr>
            <w:t xml:space="preserve">DRIMT</w:t>
          </w:r>
          <w:r>
            <w:rPr>
              <w:rFonts w:ascii="Arial" w:cs="Arial" w:eastAsia="Arial" w:hAnsi="Arial"/>
              <w:color w:val="667085"/>
              <w:sz w:val="15"/>
              <w:szCs w:val="15"/>
            </w:rPr>
            <w:t xml:space="preserve">  /  COMPLIANCE WORKBOOK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0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yfgrgjytwknpyixn0fk" Type="http://schemas.openxmlformats.org/officeDocument/2006/relationships/hyperlink" Target="https://drimt.io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499d280387648effc00985461903e31406747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— Compliance checklist</dc:title>
  <dc:subject>NIS2 Annex I — Essential · Prepared with Drimt — drimt.io</dc:subject>
  <dc:creator>Drimt</dc:creator>
  <dc:description>Drimt compliance checklist</dc:description>
  <cp:lastModifiedBy>Un-named</cp:lastModifiedBy>
  <cp:revision>1</cp:revision>
  <dcterms:created xsi:type="dcterms:W3CDTF">2026-10-02T11:53:44.244Z</dcterms:created>
  <dcterms:modified xsi:type="dcterms:W3CDTF">2026-10-02T11:53:44.244Z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